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42BE4" w:rsidRPr="00D42BE4" w:rsidRDefault="00D42BE4" w:rsidP="007B3C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2BE4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65282" w:rsidRPr="00565282">
              <w:rPr>
                <w:b/>
                <w:color w:val="000000"/>
                <w:sz w:val="24"/>
                <w:szCs w:val="24"/>
                <w:shd w:val="clear" w:color="auto" w:fill="FFFFFF"/>
              </w:rPr>
              <w:t>Организация образовательного процесса обучающихся с умственной отсталостью в условиях инклюзивного образования</w:t>
            </w:r>
            <w:r w:rsidR="006645BC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42BE4" w:rsidRPr="00D42BE4" w:rsidRDefault="00D42BE4" w:rsidP="00D42BE4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44637" w:rsidRPr="00312957" w:rsidRDefault="00144637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D42BE4" w:rsidP="0056528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2BE4">
              <w:rPr>
                <w:sz w:val="24"/>
                <w:szCs w:val="24"/>
              </w:rPr>
              <w:t xml:space="preserve">овершенствование профессиональных компетенций </w:t>
            </w:r>
            <w:r w:rsidR="00565282" w:rsidRPr="00565282">
              <w:rPr>
                <w:sz w:val="24"/>
                <w:szCs w:val="24"/>
              </w:rPr>
              <w:t xml:space="preserve">педагогических работников образовательных организаций системы общего образования, необходимых для обеспечения эффективности инклюзивного образования обучающихся с ограниченными возможностями здоровья в условиях реализации требований ФГОС обучающихся с умственной отсталостью </w:t>
            </w:r>
            <w:r w:rsidR="00565282">
              <w:rPr>
                <w:sz w:val="24"/>
                <w:szCs w:val="24"/>
              </w:rPr>
              <w:t>(интеллектуальными нарушениями)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565282" w:rsidP="007B3CE4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5282">
              <w:rPr>
                <w:sz w:val="24"/>
                <w:szCs w:val="24"/>
              </w:rPr>
              <w:t>едагогические работники образовательных организаций системы общего образования, работающие с детьми с ограниченными возможностями здоровья (умственная отсталость)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565282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E2EB0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 xml:space="preserve">.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12</w:t>
            </w:r>
            <w:r w:rsidR="00F07D47">
              <w:rPr>
                <w:sz w:val="24"/>
                <w:szCs w:val="24"/>
              </w:rPr>
              <w:t xml:space="preserve"> ч</w:t>
            </w:r>
            <w:r w:rsidR="00D42BE4">
              <w:rPr>
                <w:sz w:val="24"/>
                <w:szCs w:val="24"/>
              </w:rPr>
              <w:t>.</w:t>
            </w:r>
            <w:r w:rsidR="00F07D47">
              <w:rPr>
                <w:sz w:val="24"/>
                <w:szCs w:val="24"/>
              </w:rPr>
              <w:t xml:space="preserve"> стажировки)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07D47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565282">
              <w:rPr>
                <w:sz w:val="24"/>
                <w:szCs w:val="24"/>
              </w:rPr>
              <w:t>30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565282" w:rsidRPr="00565282" w:rsidRDefault="00D42BE4" w:rsidP="00565282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D42BE4">
              <w:rPr>
                <w:sz w:val="24"/>
                <w:szCs w:val="24"/>
              </w:rPr>
              <w:t xml:space="preserve"> </w:t>
            </w:r>
            <w:r w:rsidR="00565282">
              <w:rPr>
                <w:sz w:val="24"/>
                <w:szCs w:val="24"/>
              </w:rPr>
              <w:t xml:space="preserve">Модуль 1. </w:t>
            </w:r>
            <w:r w:rsidR="00565282" w:rsidRPr="00565282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</w:t>
            </w:r>
          </w:p>
          <w:p w:rsidR="00565282" w:rsidRPr="00565282" w:rsidRDefault="00565282" w:rsidP="00565282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2. </w:t>
            </w:r>
            <w:r w:rsidRPr="00565282">
              <w:rPr>
                <w:sz w:val="24"/>
                <w:szCs w:val="24"/>
              </w:rPr>
              <w:t>Инклюзивное образование как стратегическое направление образовательной политики</w:t>
            </w:r>
          </w:p>
          <w:p w:rsidR="00565282" w:rsidRPr="00565282" w:rsidRDefault="00565282" w:rsidP="00565282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3. </w:t>
            </w:r>
            <w:r w:rsidRPr="00565282">
              <w:rPr>
                <w:sz w:val="24"/>
                <w:szCs w:val="24"/>
              </w:rPr>
              <w:t>Создание специальных условий обучения на уровне основного общего образования для детей с ОВЗ</w:t>
            </w:r>
          </w:p>
          <w:p w:rsidR="00565282" w:rsidRPr="00565282" w:rsidRDefault="00565282" w:rsidP="00565282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4. </w:t>
            </w:r>
            <w:r w:rsidRPr="00565282">
              <w:rPr>
                <w:sz w:val="24"/>
                <w:szCs w:val="24"/>
              </w:rPr>
              <w:t xml:space="preserve">Использование и апробация специальных подходов к обучению в целях включения в образовательный процесс обучающихся с ограниченными возможностями здоровья </w:t>
            </w:r>
          </w:p>
          <w:p w:rsidR="00F07D47" w:rsidRPr="00312957" w:rsidRDefault="00565282" w:rsidP="00565282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5. </w:t>
            </w:r>
            <w:r w:rsidRPr="00565282">
              <w:rPr>
                <w:sz w:val="24"/>
                <w:szCs w:val="24"/>
              </w:rPr>
              <w:t>Итоговая аттестация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D42BE4">
            <w:pPr>
              <w:pStyle w:val="Default"/>
              <w:spacing w:line="276" w:lineRule="auto"/>
              <w:jc w:val="both"/>
            </w:pPr>
            <w:r w:rsidRPr="00FD5C3C"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="006645BC">
              <w:t>,</w:t>
            </w:r>
            <w:r w:rsidRPr="00FD5C3C">
              <w:rPr>
                <w:spacing w:val="72"/>
                <w:w w:val="150"/>
              </w:rPr>
              <w:t xml:space="preserve"> </w:t>
            </w:r>
            <w:r w:rsidR="00D42BE4">
              <w:t xml:space="preserve">стажировки. </w:t>
            </w:r>
            <w:r w:rsidRPr="00FD5C3C">
              <w:t>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7B3CE4" w:rsidP="00D42BE4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Результатом</w:t>
            </w:r>
            <w:r w:rsidR="00DF3005" w:rsidRPr="00312957">
              <w:rPr>
                <w:sz w:val="24"/>
                <w:szCs w:val="24"/>
              </w:rPr>
              <w:t xml:space="preserve"> является </w:t>
            </w:r>
            <w:r w:rsidR="00F07D47">
              <w:rPr>
                <w:sz w:val="24"/>
                <w:szCs w:val="24"/>
              </w:rPr>
              <w:t xml:space="preserve">выполнение </w:t>
            </w:r>
            <w:r w:rsidR="00FD5C3C">
              <w:rPr>
                <w:sz w:val="24"/>
                <w:szCs w:val="24"/>
              </w:rPr>
              <w:t>практических работ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96366C" w:rsidP="00D42BE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="0066595C">
              <w:rPr>
                <w:sz w:val="24"/>
                <w:szCs w:val="24"/>
              </w:rPr>
              <w:t>текущий контроль</w:t>
            </w:r>
            <w:r w:rsidR="00D42BE4">
              <w:rPr>
                <w:spacing w:val="-2"/>
                <w:sz w:val="24"/>
                <w:szCs w:val="24"/>
              </w:rPr>
              <w:t>,</w:t>
            </w:r>
            <w:r w:rsidR="0066595C">
              <w:rPr>
                <w:spacing w:val="-2"/>
                <w:sz w:val="24"/>
                <w:szCs w:val="24"/>
              </w:rPr>
              <w:t xml:space="preserve"> итоговая аттестация. Итоговая аттестация проводится в форме </w:t>
            </w:r>
            <w:r w:rsidR="00D42BE4">
              <w:rPr>
                <w:spacing w:val="-2"/>
                <w:sz w:val="24"/>
                <w:szCs w:val="24"/>
              </w:rPr>
              <w:t>разработки и презентации образовательного продукта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96366C" w:rsidRPr="00312957" w:rsidRDefault="00565282" w:rsidP="00D42BE4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>Грищук Е.И</w:t>
            </w:r>
            <w:r w:rsidR="007B3CE4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, к.фил.н.</w:t>
            </w:r>
            <w:bookmarkStart w:id="0" w:name="_GoBack"/>
            <w:bookmarkEnd w:id="0"/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F7F20"/>
    <w:rsid w:val="00200AFE"/>
    <w:rsid w:val="00312957"/>
    <w:rsid w:val="00565282"/>
    <w:rsid w:val="006645BC"/>
    <w:rsid w:val="0066595C"/>
    <w:rsid w:val="007B3CE4"/>
    <w:rsid w:val="00912AD6"/>
    <w:rsid w:val="0096366C"/>
    <w:rsid w:val="009F0EB9"/>
    <w:rsid w:val="00BE2EB0"/>
    <w:rsid w:val="00BE7C0A"/>
    <w:rsid w:val="00CA18E1"/>
    <w:rsid w:val="00D42BE4"/>
    <w:rsid w:val="00DF3005"/>
    <w:rsid w:val="00EA0AF9"/>
    <w:rsid w:val="00F07D47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AquariusPC</cp:lastModifiedBy>
  <cp:revision>18</cp:revision>
  <dcterms:created xsi:type="dcterms:W3CDTF">2023-04-03T12:31:00Z</dcterms:created>
  <dcterms:modified xsi:type="dcterms:W3CDTF">2023-04-04T12:38:00Z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